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7BA218" w14:textId="60ACE421" w:rsidR="00EE7E6A" w:rsidRDefault="00644CE5" w:rsidP="000D1147">
      <w:pPr>
        <w:spacing w:line="480" w:lineRule="auto"/>
        <w:rPr>
          <w:rFonts w:ascii="Times New Roman" w:hAnsi="Times New Roman" w:cs="Times New Roman"/>
        </w:rPr>
      </w:pPr>
      <w:r>
        <w:rPr>
          <w:rFonts w:ascii="Times New Roman" w:hAnsi="Times New Roman" w:cs="Times New Roman"/>
        </w:rPr>
        <w:t>Cara Travaglini</w:t>
      </w:r>
    </w:p>
    <w:p w14:paraId="3D36216B" w14:textId="3FBDF852" w:rsidR="00644CE5" w:rsidRDefault="00644CE5" w:rsidP="000D1147">
      <w:pPr>
        <w:spacing w:line="480" w:lineRule="auto"/>
        <w:rPr>
          <w:rFonts w:ascii="Times New Roman" w:hAnsi="Times New Roman" w:cs="Times New Roman"/>
        </w:rPr>
      </w:pPr>
      <w:r>
        <w:rPr>
          <w:rFonts w:ascii="Times New Roman" w:hAnsi="Times New Roman" w:cs="Times New Roman"/>
        </w:rPr>
        <w:t>11/8/17</w:t>
      </w:r>
    </w:p>
    <w:p w14:paraId="63B8B328" w14:textId="44F62420" w:rsidR="00644CE5" w:rsidRDefault="00644CE5" w:rsidP="000D1147">
      <w:pPr>
        <w:spacing w:line="480" w:lineRule="auto"/>
        <w:rPr>
          <w:rFonts w:ascii="Times New Roman" w:hAnsi="Times New Roman" w:cs="Times New Roman"/>
          <w:u w:val="single"/>
        </w:rPr>
      </w:pPr>
      <w:r>
        <w:rPr>
          <w:rFonts w:ascii="Times New Roman" w:hAnsi="Times New Roman" w:cs="Times New Roman"/>
          <w:u w:val="single"/>
        </w:rPr>
        <w:t>Reading Response 4</w:t>
      </w:r>
    </w:p>
    <w:p w14:paraId="044ACF0F" w14:textId="464DAEBB" w:rsidR="00644CE5" w:rsidRDefault="00644CE5" w:rsidP="000D1147">
      <w:pPr>
        <w:spacing w:line="480" w:lineRule="auto"/>
        <w:rPr>
          <w:rFonts w:ascii="Times New Roman" w:hAnsi="Times New Roman" w:cs="Times New Roman"/>
        </w:rPr>
      </w:pPr>
      <w:r>
        <w:rPr>
          <w:rFonts w:ascii="Times New Roman" w:hAnsi="Times New Roman" w:cs="Times New Roman"/>
        </w:rPr>
        <w:tab/>
        <w:t xml:space="preserve">This week, I read Shaw and Lee Chapter 7 and Laurie Edwards’ </w:t>
      </w:r>
      <w:r>
        <w:rPr>
          <w:rFonts w:ascii="Times New Roman" w:hAnsi="Times New Roman" w:cs="Times New Roman"/>
          <w:i/>
        </w:rPr>
        <w:t>The Gender Gap in Pain.</w:t>
      </w:r>
      <w:r>
        <w:rPr>
          <w:rFonts w:ascii="Times New Roman" w:hAnsi="Times New Roman" w:cs="Times New Roman"/>
        </w:rPr>
        <w:t xml:space="preserve"> I think that Shaw and Lee are trying to prove mostly in Chapter 7 how interconnected health care is </w:t>
      </w:r>
      <w:r w:rsidR="0091068D">
        <w:rPr>
          <w:rFonts w:ascii="Times New Roman" w:hAnsi="Times New Roman" w:cs="Times New Roman"/>
        </w:rPr>
        <w:t xml:space="preserve">at working against women. So, women have higher costs, higher rates of chronic illness, </w:t>
      </w:r>
      <w:r w:rsidR="006F3016">
        <w:rPr>
          <w:rFonts w:ascii="Times New Roman" w:hAnsi="Times New Roman" w:cs="Times New Roman"/>
        </w:rPr>
        <w:t>we can have children (aka another hospital visit)</w:t>
      </w:r>
      <w:r w:rsidR="009C4498">
        <w:rPr>
          <w:rFonts w:ascii="Times New Roman" w:hAnsi="Times New Roman" w:cs="Times New Roman"/>
        </w:rPr>
        <w:t xml:space="preserve"> and yet women are still making less money. To pay for all this, fortunate women can look to getting health insurance. But, “women with individual health insurance plans have been paying up to 48 percent higher premiums.” (Shaw and Lee, 363). Working against women even further is the fact that women are more likely to not get health care benefits from their jobs, so they are also more likely to be covered as a “dependent” by their partner. Except that if they get divorced or their husband dies, then women are left with nothing again. Beyond this though, being poor puts some women at an even further disadvantage which starts this cycle of sickness, basically. Low income women “postpone care and delay preventative procedures.” (364). From there, it’s been found that “insurance, or the lack of it, [is] the most powerful predictor of women’s late stage cancer.” (363).  And this is only regarding equity</w:t>
      </w:r>
      <w:r w:rsidR="001366F8">
        <w:rPr>
          <w:rFonts w:ascii="Times New Roman" w:hAnsi="Times New Roman" w:cs="Times New Roman"/>
        </w:rPr>
        <w:t xml:space="preserve">! There’s more levels to health and reproductive justice that work against women besides just the equity problem. Edwards discusses the “drug dose gender gap.” Women are at a disproportionate and greater risk of developing pain conditions, but Edwards argues that women’s complaints are also more likely to be dismissed. There is still thinking that when men complain of sickness or pain it must be something important because men are big and tough! Women push whole humans out of their bodies, but are still seen as weak - so their issues aren’t always taken as seriously. Women are less likely to receive aggressive </w:t>
      </w:r>
      <w:r w:rsidR="001366F8">
        <w:rPr>
          <w:rFonts w:ascii="Times New Roman" w:hAnsi="Times New Roman" w:cs="Times New Roman"/>
        </w:rPr>
        <w:lastRenderedPageBreak/>
        <w:t xml:space="preserve">treatment and are also diagnosed way later than men are with potentially life threatening diseases. What’s worse is that the medicine used to treat these diseases, have often only been tested on men because women aren’t allowed in many clinical trials. So, when women do get sick doctors sometimes can’t even know how they’ll react to the medicine. </w:t>
      </w:r>
    </w:p>
    <w:p w14:paraId="26DEA1EE" w14:textId="3F49276B" w:rsidR="00CF6293" w:rsidRDefault="001366F8" w:rsidP="000D1147">
      <w:pPr>
        <w:spacing w:line="480" w:lineRule="auto"/>
        <w:rPr>
          <w:rFonts w:ascii="Times New Roman" w:hAnsi="Times New Roman" w:cs="Times New Roman"/>
        </w:rPr>
      </w:pPr>
      <w:r>
        <w:rPr>
          <w:rFonts w:ascii="Times New Roman" w:hAnsi="Times New Roman" w:cs="Times New Roman"/>
        </w:rPr>
        <w:tab/>
        <w:t xml:space="preserve">I haven’t even broached the topic of reproductive justice yet, but </w:t>
      </w:r>
      <w:proofErr w:type="gramStart"/>
      <w:r>
        <w:rPr>
          <w:rFonts w:ascii="Times New Roman" w:hAnsi="Times New Roman" w:cs="Times New Roman"/>
        </w:rPr>
        <w:t>both of these</w:t>
      </w:r>
      <w:proofErr w:type="gramEnd"/>
      <w:r>
        <w:rPr>
          <w:rFonts w:ascii="Times New Roman" w:hAnsi="Times New Roman" w:cs="Times New Roman"/>
        </w:rPr>
        <w:t xml:space="preserve"> readings are significant because they are things most people never realize. It’s like they’re things you’ve seen or experienced in real life but never thought to say there was something wrong about it, because that’s just the way things are. In class, after discussing </w:t>
      </w:r>
      <w:r w:rsidR="000B667B">
        <w:rPr>
          <w:rFonts w:ascii="Times New Roman" w:hAnsi="Times New Roman" w:cs="Times New Roman"/>
          <w:i/>
        </w:rPr>
        <w:t>The Gender</w:t>
      </w:r>
      <w:r>
        <w:rPr>
          <w:rFonts w:ascii="Times New Roman" w:hAnsi="Times New Roman" w:cs="Times New Roman"/>
          <w:i/>
        </w:rPr>
        <w:t xml:space="preserve"> Gap in Pain</w:t>
      </w:r>
      <w:r>
        <w:rPr>
          <w:rFonts w:ascii="Times New Roman" w:hAnsi="Times New Roman" w:cs="Times New Roman"/>
        </w:rPr>
        <w:t xml:space="preserve">, </w:t>
      </w:r>
      <w:r w:rsidR="000B667B">
        <w:rPr>
          <w:rFonts w:ascii="Times New Roman" w:hAnsi="Times New Roman" w:cs="Times New Roman"/>
        </w:rPr>
        <w:t xml:space="preserve">I realized that maybe I had experienced what Edwards talks about and never realized it. She says, “women are less responsive to anesthesia.” (395). I can recall waking up after surgery when I was in high school and not having enough medicine that I was immediately in too much pain. I freaked out and then passed out before much could even happen, and I remember the nurse saying after that she wasn’t expecting me to be awake that soon. Maybe it’s because I didn’t have that much anesthesia? Or maybe I wasn’t that numb because they assumed I needed less medicine because I was a girl? Maybe I’m just grasping at straws. Something that stuck out to me in the beginning of the chapter, as well, was that the US does not yet have a nationalized health care system like most countries of our stature do. It’s so odd to me that we’re the only country who hasn’t been able to make it </w:t>
      </w:r>
      <w:r w:rsidR="00CF6293">
        <w:rPr>
          <w:rFonts w:ascii="Times New Roman" w:hAnsi="Times New Roman" w:cs="Times New Roman"/>
        </w:rPr>
        <w:t xml:space="preserve">work. </w:t>
      </w:r>
      <w:r w:rsidR="003B2D0C">
        <w:rPr>
          <w:rFonts w:ascii="Times New Roman" w:hAnsi="Times New Roman" w:cs="Times New Roman"/>
        </w:rPr>
        <w:t>With Donald Trump in office, it’s been said that planned par</w:t>
      </w:r>
      <w:r w:rsidR="007F4544">
        <w:rPr>
          <w:rFonts w:ascii="Times New Roman" w:hAnsi="Times New Roman" w:cs="Times New Roman"/>
        </w:rPr>
        <w:t xml:space="preserve">enthood would be defunded which I, being pro-choice, obviously don’t think is a good idea. I think that my parents, who are both super catholic and pro-life, wouldn’t really think twice about this though. This class constantly makes me think about the difference in my opinions and their opinions, but when it comes to abortion I feel like there’s so much grey area. I know that I believe every individual should have their own choice and </w:t>
      </w:r>
      <w:proofErr w:type="spellStart"/>
      <w:r w:rsidR="007F4544">
        <w:rPr>
          <w:rFonts w:ascii="Times New Roman" w:hAnsi="Times New Roman" w:cs="Times New Roman"/>
        </w:rPr>
        <w:t>its</w:t>
      </w:r>
      <w:proofErr w:type="spellEnd"/>
      <w:r w:rsidR="007F4544">
        <w:rPr>
          <w:rFonts w:ascii="Times New Roman" w:hAnsi="Times New Roman" w:cs="Times New Roman"/>
        </w:rPr>
        <w:t xml:space="preserve"> hard for me to see that the church could be so involved that they want to decide for everyone, but I think that people can’t really argue about this unless they’ve gone through it. Everyone likes to talk about it and it polarizes groups of people. I’m not positive what I’m trying to say here, but I think that there’s so many different situations that defunding for planned parenthood and the elimination of abortion coverage can’t really help as many people as it would hurt- because abortion is more than just getting rid of an unwanted baby? </w:t>
      </w:r>
    </w:p>
    <w:p w14:paraId="14DEB818" w14:textId="77777777" w:rsidR="007F4544" w:rsidRDefault="007F4544" w:rsidP="000D1147">
      <w:pPr>
        <w:spacing w:line="480" w:lineRule="auto"/>
        <w:rPr>
          <w:rFonts w:ascii="Times New Roman" w:hAnsi="Times New Roman" w:cs="Times New Roman"/>
        </w:rPr>
      </w:pPr>
    </w:p>
    <w:p w14:paraId="24B4F8F7" w14:textId="24DF2663" w:rsidR="00CF6293" w:rsidRDefault="00CF6293" w:rsidP="000D1147">
      <w:pPr>
        <w:spacing w:line="480" w:lineRule="auto"/>
        <w:rPr>
          <w:rFonts w:ascii="Times New Roman" w:hAnsi="Times New Roman" w:cs="Times New Roman"/>
        </w:rPr>
      </w:pPr>
      <w:r>
        <w:rPr>
          <w:rFonts w:ascii="Times New Roman" w:hAnsi="Times New Roman" w:cs="Times New Roman"/>
        </w:rPr>
        <w:tab/>
      </w:r>
      <w:r w:rsidR="007F4544">
        <w:rPr>
          <w:rFonts w:ascii="Times New Roman" w:hAnsi="Times New Roman" w:cs="Times New Roman"/>
        </w:rPr>
        <w:t>Word count: 740</w:t>
      </w:r>
    </w:p>
    <w:p w14:paraId="6B25B845" w14:textId="77777777" w:rsidR="004A3329" w:rsidRDefault="004A3329" w:rsidP="000D1147">
      <w:pPr>
        <w:spacing w:line="480" w:lineRule="auto"/>
        <w:rPr>
          <w:rFonts w:ascii="Times New Roman" w:hAnsi="Times New Roman" w:cs="Times New Roman"/>
        </w:rPr>
      </w:pPr>
    </w:p>
    <w:p w14:paraId="211B126C" w14:textId="77777777" w:rsidR="004A3329" w:rsidRDefault="004A3329" w:rsidP="000D1147">
      <w:pPr>
        <w:spacing w:line="480" w:lineRule="auto"/>
        <w:rPr>
          <w:rFonts w:ascii="Times New Roman" w:hAnsi="Times New Roman" w:cs="Times New Roman"/>
        </w:rPr>
      </w:pPr>
    </w:p>
    <w:p w14:paraId="269E8DAE" w14:textId="77777777" w:rsidR="004A3329" w:rsidRDefault="004A3329" w:rsidP="000D1147">
      <w:pPr>
        <w:spacing w:line="480" w:lineRule="auto"/>
        <w:rPr>
          <w:rFonts w:ascii="Times New Roman" w:hAnsi="Times New Roman" w:cs="Times New Roman"/>
        </w:rPr>
      </w:pPr>
    </w:p>
    <w:p w14:paraId="2BAE1AE3" w14:textId="77777777" w:rsidR="004A3329" w:rsidRDefault="004A3329" w:rsidP="000D1147">
      <w:pPr>
        <w:spacing w:line="480" w:lineRule="auto"/>
        <w:rPr>
          <w:rFonts w:ascii="Times New Roman" w:hAnsi="Times New Roman" w:cs="Times New Roman"/>
        </w:rPr>
      </w:pPr>
    </w:p>
    <w:p w14:paraId="514A45AA" w14:textId="77777777" w:rsidR="004A3329" w:rsidRDefault="004A3329" w:rsidP="000D1147">
      <w:pPr>
        <w:spacing w:line="480" w:lineRule="auto"/>
        <w:rPr>
          <w:rFonts w:ascii="Times New Roman" w:hAnsi="Times New Roman" w:cs="Times New Roman"/>
        </w:rPr>
      </w:pPr>
    </w:p>
    <w:p w14:paraId="295F6460" w14:textId="77777777" w:rsidR="004A3329" w:rsidRDefault="004A3329" w:rsidP="000D1147">
      <w:pPr>
        <w:spacing w:line="480" w:lineRule="auto"/>
        <w:rPr>
          <w:rFonts w:ascii="Times New Roman" w:hAnsi="Times New Roman" w:cs="Times New Roman"/>
        </w:rPr>
      </w:pPr>
    </w:p>
    <w:p w14:paraId="4B9A73A4" w14:textId="77777777" w:rsidR="004A3329" w:rsidRDefault="004A3329" w:rsidP="000D1147">
      <w:pPr>
        <w:spacing w:line="480" w:lineRule="auto"/>
        <w:rPr>
          <w:rFonts w:ascii="Times New Roman" w:hAnsi="Times New Roman" w:cs="Times New Roman"/>
        </w:rPr>
      </w:pPr>
    </w:p>
    <w:p w14:paraId="7F534054" w14:textId="77777777" w:rsidR="004A3329" w:rsidRDefault="004A3329" w:rsidP="000D1147">
      <w:pPr>
        <w:spacing w:line="480" w:lineRule="auto"/>
        <w:rPr>
          <w:rFonts w:ascii="Times New Roman" w:hAnsi="Times New Roman" w:cs="Times New Roman"/>
        </w:rPr>
      </w:pPr>
    </w:p>
    <w:p w14:paraId="37D7C9FB" w14:textId="77777777" w:rsidR="004A3329" w:rsidRDefault="004A3329" w:rsidP="000D1147">
      <w:pPr>
        <w:spacing w:line="480" w:lineRule="auto"/>
        <w:rPr>
          <w:rFonts w:ascii="Times New Roman" w:hAnsi="Times New Roman" w:cs="Times New Roman"/>
        </w:rPr>
      </w:pPr>
    </w:p>
    <w:p w14:paraId="6C6C7893" w14:textId="77777777" w:rsidR="004A3329" w:rsidRDefault="004A3329" w:rsidP="000D1147">
      <w:pPr>
        <w:spacing w:line="480" w:lineRule="auto"/>
        <w:rPr>
          <w:rFonts w:ascii="Times New Roman" w:hAnsi="Times New Roman" w:cs="Times New Roman"/>
        </w:rPr>
      </w:pPr>
    </w:p>
    <w:p w14:paraId="185A89CE" w14:textId="77777777" w:rsidR="004A3329" w:rsidRDefault="004A3329" w:rsidP="000D1147">
      <w:pPr>
        <w:spacing w:line="480" w:lineRule="auto"/>
        <w:rPr>
          <w:rFonts w:ascii="Times New Roman" w:hAnsi="Times New Roman" w:cs="Times New Roman"/>
        </w:rPr>
      </w:pPr>
    </w:p>
    <w:p w14:paraId="6465549D" w14:textId="77777777" w:rsidR="004A3329" w:rsidRDefault="004A3329" w:rsidP="000D1147">
      <w:pPr>
        <w:spacing w:line="480" w:lineRule="auto"/>
        <w:rPr>
          <w:rFonts w:ascii="Times New Roman" w:hAnsi="Times New Roman" w:cs="Times New Roman"/>
        </w:rPr>
      </w:pPr>
    </w:p>
    <w:p w14:paraId="1E6BEE64" w14:textId="77777777" w:rsidR="004A3329" w:rsidRDefault="004A3329" w:rsidP="000D1147">
      <w:pPr>
        <w:spacing w:line="480" w:lineRule="auto"/>
        <w:rPr>
          <w:rFonts w:ascii="Times New Roman" w:hAnsi="Times New Roman" w:cs="Times New Roman"/>
        </w:rPr>
      </w:pPr>
    </w:p>
    <w:p w14:paraId="2DA546A0" w14:textId="77777777" w:rsidR="004A3329" w:rsidRDefault="004A3329" w:rsidP="000D1147">
      <w:pPr>
        <w:spacing w:line="480" w:lineRule="auto"/>
        <w:rPr>
          <w:rFonts w:ascii="Times New Roman" w:hAnsi="Times New Roman" w:cs="Times New Roman"/>
        </w:rPr>
      </w:pPr>
    </w:p>
    <w:p w14:paraId="389328DD" w14:textId="77777777" w:rsidR="004A3329" w:rsidRDefault="004A3329" w:rsidP="000D1147">
      <w:pPr>
        <w:spacing w:line="480" w:lineRule="auto"/>
        <w:rPr>
          <w:rFonts w:ascii="Times New Roman" w:hAnsi="Times New Roman" w:cs="Times New Roman"/>
        </w:rPr>
      </w:pPr>
    </w:p>
    <w:p w14:paraId="5C54DECC" w14:textId="77777777" w:rsidR="004A3329" w:rsidRPr="004A3329" w:rsidRDefault="004A3329" w:rsidP="004A3329">
      <w:pPr>
        <w:jc w:val="center"/>
        <w:rPr>
          <w:rFonts w:ascii="Times New Roman" w:eastAsia="Times New Roman" w:hAnsi="Times New Roman" w:cs="Times New Roman"/>
          <w:color w:val="000000"/>
        </w:rPr>
      </w:pPr>
      <w:r w:rsidRPr="004A3329">
        <w:rPr>
          <w:rFonts w:ascii="Times New Roman" w:eastAsia="Times New Roman" w:hAnsi="Times New Roman" w:cs="Times New Roman"/>
          <w:color w:val="000000"/>
        </w:rPr>
        <w:t>Works Cited</w:t>
      </w:r>
      <w:bookmarkStart w:id="0" w:name="_GoBack"/>
      <w:bookmarkEnd w:id="0"/>
    </w:p>
    <w:p w14:paraId="3EF41EB0" w14:textId="77777777" w:rsidR="004A3329" w:rsidRPr="004A3329" w:rsidRDefault="004A3329" w:rsidP="004A3329">
      <w:pPr>
        <w:ind w:hanging="600"/>
        <w:rPr>
          <w:rFonts w:ascii="Times New Roman" w:eastAsia="Times New Roman" w:hAnsi="Times New Roman" w:cs="Times New Roman"/>
          <w:color w:val="000000"/>
        </w:rPr>
      </w:pPr>
      <w:r w:rsidRPr="004A3329">
        <w:rPr>
          <w:rFonts w:ascii="Times New Roman" w:eastAsia="Times New Roman" w:hAnsi="Times New Roman" w:cs="Times New Roman"/>
          <w:color w:val="000000"/>
        </w:rPr>
        <w:t>Shaw, Susan M., and Janet Lee. “Chapter 7.” </w:t>
      </w:r>
      <w:r w:rsidRPr="004A3329">
        <w:rPr>
          <w:rFonts w:ascii="Times New Roman" w:eastAsia="Times New Roman" w:hAnsi="Times New Roman" w:cs="Times New Roman"/>
          <w:i/>
          <w:iCs/>
          <w:color w:val="000000"/>
        </w:rPr>
        <w:t>Women's Voices, Feminist Visions: Classic and Contemporary Readings</w:t>
      </w:r>
      <w:r w:rsidRPr="004A3329">
        <w:rPr>
          <w:rFonts w:ascii="Times New Roman" w:eastAsia="Times New Roman" w:hAnsi="Times New Roman" w:cs="Times New Roman"/>
          <w:color w:val="000000"/>
        </w:rPr>
        <w:t>, McGraw-Hill Education, 2015, pp. 362–396.</w:t>
      </w:r>
    </w:p>
    <w:p w14:paraId="354B2170" w14:textId="77777777" w:rsidR="004A3329" w:rsidRPr="001366F8" w:rsidRDefault="004A3329" w:rsidP="000D1147">
      <w:pPr>
        <w:spacing w:line="480" w:lineRule="auto"/>
        <w:rPr>
          <w:rFonts w:ascii="Times New Roman" w:hAnsi="Times New Roman" w:cs="Times New Roman"/>
        </w:rPr>
      </w:pPr>
    </w:p>
    <w:sectPr w:rsidR="004A3329" w:rsidRPr="001366F8"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822"/>
    <w:rsid w:val="000B667B"/>
    <w:rsid w:val="000D1147"/>
    <w:rsid w:val="001366F8"/>
    <w:rsid w:val="003B2D0C"/>
    <w:rsid w:val="00450822"/>
    <w:rsid w:val="004A3329"/>
    <w:rsid w:val="00644CE5"/>
    <w:rsid w:val="006F3016"/>
    <w:rsid w:val="007F4544"/>
    <w:rsid w:val="0091068D"/>
    <w:rsid w:val="009C4498"/>
    <w:rsid w:val="00AB5A7B"/>
    <w:rsid w:val="00CF6293"/>
    <w:rsid w:val="00FA4612"/>
    <w:rsid w:val="00FE180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A77EB4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A3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7267506">
      <w:bodyDiv w:val="1"/>
      <w:marLeft w:val="0"/>
      <w:marRight w:val="0"/>
      <w:marTop w:val="0"/>
      <w:marBottom w:val="0"/>
      <w:divBdr>
        <w:top w:val="none" w:sz="0" w:space="0" w:color="auto"/>
        <w:left w:val="none" w:sz="0" w:space="0" w:color="auto"/>
        <w:bottom w:val="none" w:sz="0" w:space="0" w:color="auto"/>
        <w:right w:val="none" w:sz="0" w:space="0" w:color="auto"/>
      </w:divBdr>
      <w:divsChild>
        <w:div w:id="854196274">
          <w:marLeft w:val="60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710</Words>
  <Characters>4047</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Travaglini, Cara</dc:creator>
  <cp:keywords/>
  <dc:description/>
  <cp:lastModifiedBy>Travaglini, Cara</cp:lastModifiedBy>
  <cp:revision>2</cp:revision>
  <dcterms:created xsi:type="dcterms:W3CDTF">2017-11-08T21:49:00Z</dcterms:created>
  <dcterms:modified xsi:type="dcterms:W3CDTF">2017-11-08T21:49:00Z</dcterms:modified>
</cp:coreProperties>
</file>